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 verifica dell'impatto della regolamentazione (VIR) ai sensi dell'art. 14, comma 4,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 verifica dell'impatto della regolamentazione (VIR) ai sensi dell'art. 14, comma 4,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